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804" w:rsidRDefault="00A07D1B">
      <w:pPr>
        <w:pStyle w:val="a3"/>
        <w:spacing w:line="256" w:lineRule="auto"/>
        <w:rPr>
          <w:lang w:eastAsia="zh-TW"/>
        </w:rPr>
      </w:pPr>
      <w:r>
        <w:rPr>
          <w:spacing w:val="-9"/>
          <w:lang w:eastAsia="zh-TW"/>
        </w:rPr>
        <w:t>臺灣證券交易所股份有限公司「上市公司董事會設置及行使職權應遵循事項要點」</w:t>
      </w:r>
      <w:r w:rsidR="004E67C2">
        <w:rPr>
          <w:rFonts w:hint="eastAsia"/>
          <w:lang w:eastAsia="zh-TW"/>
        </w:rPr>
        <w:t>第二十</w:t>
      </w:r>
      <w:r w:rsidR="004E67C2">
        <w:rPr>
          <w:lang w:eastAsia="zh-TW"/>
        </w:rPr>
        <w:t>條</w:t>
      </w:r>
      <w:bookmarkStart w:id="0" w:name="_GoBack"/>
      <w:bookmarkEnd w:id="0"/>
      <w:r>
        <w:rPr>
          <w:lang w:eastAsia="zh-TW"/>
        </w:rPr>
        <w:t>修正對照表</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765"/>
        <w:gridCol w:w="2766"/>
      </w:tblGrid>
      <w:tr w:rsidR="006F0804">
        <w:trPr>
          <w:trHeight w:val="359"/>
        </w:trPr>
        <w:tc>
          <w:tcPr>
            <w:tcW w:w="2765" w:type="dxa"/>
          </w:tcPr>
          <w:p w:rsidR="006F0804" w:rsidRDefault="00A07D1B">
            <w:pPr>
              <w:pStyle w:val="TableParagraph"/>
              <w:spacing w:before="2" w:line="240" w:lineRule="auto"/>
              <w:rPr>
                <w:sz w:val="24"/>
              </w:rPr>
            </w:pPr>
            <w:r>
              <w:rPr>
                <w:sz w:val="24"/>
              </w:rPr>
              <w:t>修正條文</w:t>
            </w:r>
          </w:p>
        </w:tc>
        <w:tc>
          <w:tcPr>
            <w:tcW w:w="2765" w:type="dxa"/>
          </w:tcPr>
          <w:p w:rsidR="006F0804" w:rsidRDefault="00A07D1B">
            <w:pPr>
              <w:pStyle w:val="TableParagraph"/>
              <w:spacing w:before="2" w:line="240" w:lineRule="auto"/>
              <w:rPr>
                <w:sz w:val="24"/>
              </w:rPr>
            </w:pPr>
            <w:r>
              <w:rPr>
                <w:sz w:val="24"/>
              </w:rPr>
              <w:t>現行條文</w:t>
            </w:r>
          </w:p>
        </w:tc>
        <w:tc>
          <w:tcPr>
            <w:tcW w:w="2766" w:type="dxa"/>
          </w:tcPr>
          <w:p w:rsidR="006F0804" w:rsidRDefault="00A07D1B">
            <w:pPr>
              <w:pStyle w:val="TableParagraph"/>
              <w:spacing w:before="2" w:line="240" w:lineRule="auto"/>
              <w:rPr>
                <w:sz w:val="24"/>
              </w:rPr>
            </w:pPr>
            <w:r>
              <w:rPr>
                <w:sz w:val="24"/>
              </w:rPr>
              <w:t>說明</w:t>
            </w:r>
          </w:p>
        </w:tc>
      </w:tr>
      <w:tr w:rsidR="00287B2D">
        <w:trPr>
          <w:trHeight w:val="12801"/>
        </w:trPr>
        <w:tc>
          <w:tcPr>
            <w:tcW w:w="2765" w:type="dxa"/>
          </w:tcPr>
          <w:p w:rsidR="00287B2D" w:rsidRPr="006C49CA" w:rsidRDefault="00287B2D">
            <w:pPr>
              <w:pStyle w:val="TableParagraph"/>
              <w:spacing w:before="81" w:line="240" w:lineRule="auto"/>
              <w:rPr>
                <w:spacing w:val="-6"/>
                <w:sz w:val="24"/>
                <w:lang w:eastAsia="zh-TW"/>
              </w:rPr>
            </w:pPr>
            <w:r w:rsidRPr="006C49CA">
              <w:rPr>
                <w:rFonts w:hint="eastAsia"/>
                <w:spacing w:val="-6"/>
                <w:sz w:val="24"/>
                <w:lang w:eastAsia="zh-TW"/>
              </w:rPr>
              <w:t>第二十條</w:t>
            </w:r>
          </w:p>
          <w:p w:rsidR="00287B2D" w:rsidRPr="006C49CA" w:rsidRDefault="00287B2D">
            <w:pPr>
              <w:pStyle w:val="TableParagraph"/>
              <w:spacing w:before="81" w:line="240" w:lineRule="auto"/>
              <w:rPr>
                <w:spacing w:val="-6"/>
                <w:sz w:val="24"/>
                <w:lang w:eastAsia="zh-TW"/>
              </w:rPr>
            </w:pPr>
            <w:r w:rsidRPr="006C49CA">
              <w:rPr>
                <w:rFonts w:hint="eastAsia"/>
                <w:spacing w:val="-6"/>
                <w:sz w:val="24"/>
                <w:lang w:eastAsia="zh-TW"/>
              </w:rPr>
              <w:t>上市公司董事會應依公開發行公司董事會議事辦法指定辦理議事事務單位。</w:t>
            </w:r>
          </w:p>
          <w:p w:rsidR="00287B2D" w:rsidRPr="006C49CA" w:rsidRDefault="00287B2D">
            <w:pPr>
              <w:pStyle w:val="TableParagraph"/>
              <w:spacing w:before="81" w:line="240" w:lineRule="auto"/>
              <w:rPr>
                <w:spacing w:val="-6"/>
                <w:sz w:val="24"/>
                <w:lang w:eastAsia="zh-TW"/>
              </w:rPr>
            </w:pPr>
          </w:p>
          <w:p w:rsidR="00287B2D" w:rsidRPr="006C49CA" w:rsidRDefault="00287B2D">
            <w:pPr>
              <w:pStyle w:val="TableParagraph"/>
              <w:spacing w:before="2" w:line="283" w:lineRule="auto"/>
              <w:ind w:right="48"/>
              <w:jc w:val="both"/>
              <w:rPr>
                <w:spacing w:val="-6"/>
                <w:sz w:val="24"/>
                <w:lang w:eastAsia="zh-TW"/>
              </w:rPr>
            </w:pPr>
            <w:r w:rsidRPr="006C49CA">
              <w:rPr>
                <w:rFonts w:hint="eastAsia"/>
                <w:spacing w:val="-6"/>
                <w:sz w:val="24"/>
                <w:lang w:eastAsia="zh-TW"/>
              </w:rPr>
              <w:t>上市公司宜依公司規模、業務情況及管理需</w:t>
            </w:r>
            <w:r>
              <w:rPr>
                <w:rFonts w:hint="eastAsia"/>
                <w:spacing w:val="-6"/>
                <w:sz w:val="24"/>
                <w:lang w:eastAsia="zh-TW"/>
              </w:rPr>
              <w:t>要，配置適任及適當人數之公司治理人員，並指定公司治理主管一名，為負</w:t>
            </w:r>
            <w:r w:rsidRPr="006C49CA">
              <w:rPr>
                <w:rFonts w:hint="eastAsia"/>
                <w:spacing w:val="-6"/>
                <w:sz w:val="24"/>
                <w:lang w:eastAsia="zh-TW"/>
              </w:rPr>
              <w:t>責公司治理相關事務之最高主管。</w:t>
            </w:r>
          </w:p>
          <w:p w:rsidR="00287B2D" w:rsidRPr="006C49CA" w:rsidRDefault="00287B2D">
            <w:pPr>
              <w:pStyle w:val="TableParagraph"/>
              <w:spacing w:before="2" w:line="283" w:lineRule="auto"/>
              <w:ind w:right="48"/>
              <w:jc w:val="both"/>
              <w:rPr>
                <w:spacing w:val="-6"/>
                <w:sz w:val="24"/>
                <w:lang w:eastAsia="zh-TW"/>
              </w:rPr>
            </w:pPr>
          </w:p>
          <w:p w:rsidR="00287B2D" w:rsidRPr="006C49CA" w:rsidRDefault="00287B2D">
            <w:pPr>
              <w:pStyle w:val="TableParagraph"/>
              <w:spacing w:before="5" w:line="283" w:lineRule="auto"/>
              <w:ind w:right="79"/>
              <w:jc w:val="both"/>
              <w:rPr>
                <w:spacing w:val="-6"/>
                <w:sz w:val="24"/>
                <w:lang w:eastAsia="zh-TW"/>
              </w:rPr>
            </w:pPr>
            <w:r w:rsidRPr="006C49CA">
              <w:rPr>
                <w:rFonts w:hint="eastAsia"/>
                <w:spacing w:val="-6"/>
                <w:sz w:val="24"/>
                <w:lang w:eastAsia="zh-TW"/>
              </w:rPr>
              <w:t>上市公司應設置公司治理主管</w:t>
            </w:r>
            <w:r w:rsidRPr="00AB5CC5">
              <w:rPr>
                <w:rFonts w:hint="eastAsia"/>
                <w:spacing w:val="-6"/>
                <w:sz w:val="24"/>
                <w:u w:val="single"/>
                <w:lang w:eastAsia="zh-TW"/>
              </w:rPr>
              <w:t>，</w:t>
            </w:r>
            <w:r w:rsidRPr="00AB5CC5">
              <w:rPr>
                <w:rFonts w:hint="eastAsia"/>
                <w:spacing w:val="-6"/>
                <w:sz w:val="24"/>
                <w:lang w:eastAsia="zh-TW"/>
              </w:rPr>
              <w:t>但</w:t>
            </w:r>
            <w:r w:rsidR="006A2AA9" w:rsidRPr="00AB5CC5">
              <w:rPr>
                <w:rFonts w:hint="eastAsia"/>
                <w:spacing w:val="-6"/>
                <w:sz w:val="24"/>
                <w:u w:val="single"/>
                <w:lang w:eastAsia="zh-TW"/>
              </w:rPr>
              <w:t>實收資本額</w:t>
            </w:r>
            <w:r w:rsidRPr="00AB5CC5">
              <w:rPr>
                <w:rFonts w:hint="eastAsia"/>
                <w:spacing w:val="-6"/>
                <w:sz w:val="24"/>
                <w:lang w:eastAsia="zh-TW"/>
              </w:rPr>
              <w:t>未</w:t>
            </w:r>
            <w:r w:rsidR="00120AD9" w:rsidRPr="00120AD9">
              <w:rPr>
                <w:rFonts w:hint="eastAsia"/>
                <w:spacing w:val="-6"/>
                <w:sz w:val="24"/>
                <w:lang w:eastAsia="zh-TW"/>
              </w:rPr>
              <w:t>達</w:t>
            </w:r>
            <w:r w:rsidRPr="00AB5CC5">
              <w:rPr>
                <w:rFonts w:hint="eastAsia"/>
                <w:spacing w:val="-6"/>
                <w:sz w:val="24"/>
                <w:u w:val="single"/>
                <w:lang w:eastAsia="zh-TW"/>
              </w:rPr>
              <w:t>二十億元</w:t>
            </w:r>
            <w:r w:rsidR="008D1F26" w:rsidRPr="008D1F26">
              <w:rPr>
                <w:spacing w:val="-6"/>
                <w:sz w:val="24"/>
                <w:u w:val="single"/>
                <w:lang w:eastAsia="zh-TW"/>
              </w:rPr>
              <w:t>非屬金融</w:t>
            </w:r>
            <w:r w:rsidR="005F728B">
              <w:rPr>
                <w:spacing w:val="-6"/>
                <w:sz w:val="24"/>
                <w:u w:val="single"/>
                <w:lang w:eastAsia="zh-TW"/>
              </w:rPr>
              <w:t>保險</w:t>
            </w:r>
            <w:r w:rsidR="008D1F26" w:rsidRPr="008D1F26">
              <w:rPr>
                <w:spacing w:val="-6"/>
                <w:sz w:val="24"/>
                <w:u w:val="single"/>
                <w:lang w:eastAsia="zh-TW"/>
              </w:rPr>
              <w:t>業</w:t>
            </w:r>
            <w:r w:rsidRPr="00AB5CC5">
              <w:rPr>
                <w:rFonts w:hint="eastAsia"/>
                <w:spacing w:val="-6"/>
                <w:sz w:val="24"/>
                <w:u w:val="single"/>
                <w:lang w:eastAsia="zh-TW"/>
              </w:rPr>
              <w:t>者，得於</w:t>
            </w:r>
            <w:r w:rsidRPr="003E45E1">
              <w:rPr>
                <w:rFonts w:hint="eastAsia"/>
                <w:spacing w:val="-6"/>
                <w:sz w:val="24"/>
                <w:lang w:eastAsia="zh-TW"/>
              </w:rPr>
              <w:t>中華民國一百一十</w:t>
            </w:r>
            <w:r w:rsidRPr="00AB5CC5">
              <w:rPr>
                <w:rFonts w:hint="eastAsia"/>
                <w:spacing w:val="-6"/>
                <w:sz w:val="24"/>
                <w:u w:val="single"/>
                <w:lang w:eastAsia="zh-TW"/>
              </w:rPr>
              <w:t>二</w:t>
            </w:r>
            <w:r w:rsidRPr="00120AD9">
              <w:rPr>
                <w:rFonts w:hint="eastAsia"/>
                <w:spacing w:val="-6"/>
                <w:sz w:val="24"/>
                <w:lang w:eastAsia="zh-TW"/>
              </w:rPr>
              <w:t>年</w:t>
            </w:r>
            <w:r w:rsidR="000914D4" w:rsidRPr="00120AD9">
              <w:rPr>
                <w:rFonts w:hint="eastAsia"/>
                <w:spacing w:val="-6"/>
                <w:sz w:val="24"/>
                <w:lang w:eastAsia="zh-TW"/>
              </w:rPr>
              <w:t>六月三十</w:t>
            </w:r>
            <w:r w:rsidRPr="00120AD9">
              <w:rPr>
                <w:rFonts w:hint="eastAsia"/>
                <w:spacing w:val="-6"/>
                <w:sz w:val="24"/>
                <w:lang w:eastAsia="zh-TW"/>
              </w:rPr>
              <w:t>日前</w:t>
            </w:r>
            <w:r w:rsidRPr="006C49CA">
              <w:rPr>
                <w:rFonts w:hint="eastAsia"/>
                <w:spacing w:val="-6"/>
                <w:sz w:val="24"/>
                <w:lang w:eastAsia="zh-TW"/>
              </w:rPr>
              <w:t>完成設置公司治理主管。</w:t>
            </w:r>
          </w:p>
          <w:p w:rsidR="00287B2D" w:rsidRPr="006C49CA" w:rsidRDefault="00287B2D">
            <w:pPr>
              <w:pStyle w:val="TableParagraph"/>
              <w:spacing w:before="5" w:line="283" w:lineRule="auto"/>
              <w:ind w:right="79"/>
              <w:jc w:val="both"/>
              <w:rPr>
                <w:spacing w:val="-6"/>
                <w:sz w:val="24"/>
                <w:lang w:eastAsia="zh-TW"/>
              </w:rPr>
            </w:pPr>
          </w:p>
          <w:p w:rsidR="00287B2D" w:rsidRDefault="00287B2D">
            <w:pPr>
              <w:pStyle w:val="TableParagraph"/>
              <w:spacing w:before="5" w:line="283" w:lineRule="auto"/>
              <w:ind w:right="79"/>
              <w:jc w:val="both"/>
              <w:rPr>
                <w:spacing w:val="-6"/>
                <w:sz w:val="24"/>
                <w:lang w:eastAsia="zh-TW"/>
              </w:rPr>
            </w:pPr>
          </w:p>
          <w:p w:rsidR="00115F3E" w:rsidRPr="006C49CA" w:rsidRDefault="00115F3E">
            <w:pPr>
              <w:pStyle w:val="TableParagraph"/>
              <w:spacing w:before="5" w:line="283" w:lineRule="auto"/>
              <w:ind w:right="79"/>
              <w:jc w:val="both"/>
              <w:rPr>
                <w:spacing w:val="-6"/>
                <w:sz w:val="24"/>
                <w:lang w:eastAsia="zh-TW"/>
              </w:rPr>
            </w:pPr>
          </w:p>
          <w:p w:rsidR="00287B2D" w:rsidRPr="006C49CA" w:rsidRDefault="00287B2D" w:rsidP="00115F3E">
            <w:pPr>
              <w:pStyle w:val="TableParagraph"/>
              <w:spacing w:before="4" w:line="283" w:lineRule="auto"/>
              <w:ind w:right="79"/>
              <w:jc w:val="both"/>
              <w:rPr>
                <w:spacing w:val="-6"/>
                <w:sz w:val="24"/>
                <w:lang w:eastAsia="zh-TW"/>
              </w:rPr>
            </w:pPr>
            <w:r w:rsidRPr="006C49CA">
              <w:rPr>
                <w:rFonts w:hint="eastAsia"/>
                <w:spacing w:val="-6"/>
                <w:sz w:val="24"/>
                <w:lang w:eastAsia="zh-TW"/>
              </w:rPr>
              <w:t>上市公司設置公司治理主管，應依本要點規定辦理，但主管機關法令另有規定者，從其規定。</w:t>
            </w:r>
          </w:p>
        </w:tc>
        <w:tc>
          <w:tcPr>
            <w:tcW w:w="2765" w:type="dxa"/>
          </w:tcPr>
          <w:p w:rsidR="00287B2D" w:rsidRPr="006C49CA" w:rsidRDefault="00287B2D">
            <w:pPr>
              <w:pStyle w:val="TableParagraph"/>
              <w:spacing w:before="81" w:line="240" w:lineRule="auto"/>
              <w:rPr>
                <w:spacing w:val="-6"/>
                <w:sz w:val="24"/>
                <w:lang w:eastAsia="zh-TW"/>
              </w:rPr>
            </w:pPr>
            <w:r w:rsidRPr="006C49CA">
              <w:rPr>
                <w:rFonts w:hint="eastAsia"/>
                <w:spacing w:val="-6"/>
                <w:sz w:val="24"/>
                <w:lang w:eastAsia="zh-TW"/>
              </w:rPr>
              <w:t>第二十條</w:t>
            </w:r>
          </w:p>
          <w:p w:rsidR="00287B2D" w:rsidRPr="006C49CA" w:rsidRDefault="00287B2D">
            <w:pPr>
              <w:pStyle w:val="TableParagraph"/>
              <w:spacing w:before="81" w:line="240" w:lineRule="auto"/>
              <w:rPr>
                <w:spacing w:val="-6"/>
                <w:sz w:val="24"/>
                <w:lang w:eastAsia="zh-TW"/>
              </w:rPr>
            </w:pPr>
            <w:r w:rsidRPr="006C49CA">
              <w:rPr>
                <w:rFonts w:hint="eastAsia"/>
                <w:spacing w:val="-6"/>
                <w:sz w:val="24"/>
                <w:lang w:eastAsia="zh-TW"/>
              </w:rPr>
              <w:t>上市公司董事會應依公開發行公司董事會議事辦法指定辦理議事事務單位。</w:t>
            </w:r>
          </w:p>
          <w:p w:rsidR="00287B2D" w:rsidRPr="006C49CA" w:rsidRDefault="00287B2D">
            <w:pPr>
              <w:pStyle w:val="TableParagraph"/>
              <w:spacing w:before="81" w:line="240" w:lineRule="auto"/>
              <w:rPr>
                <w:spacing w:val="-6"/>
                <w:sz w:val="24"/>
                <w:lang w:eastAsia="zh-TW"/>
              </w:rPr>
            </w:pPr>
          </w:p>
          <w:p w:rsidR="00287B2D" w:rsidRPr="006C49CA" w:rsidRDefault="00287B2D">
            <w:pPr>
              <w:pStyle w:val="TableParagraph"/>
              <w:spacing w:before="2" w:line="283" w:lineRule="auto"/>
              <w:ind w:right="48"/>
              <w:jc w:val="both"/>
              <w:rPr>
                <w:spacing w:val="-6"/>
                <w:sz w:val="24"/>
                <w:lang w:eastAsia="zh-TW"/>
              </w:rPr>
            </w:pPr>
            <w:r w:rsidRPr="006C49CA">
              <w:rPr>
                <w:rFonts w:hint="eastAsia"/>
                <w:spacing w:val="-6"/>
                <w:sz w:val="24"/>
                <w:lang w:eastAsia="zh-TW"/>
              </w:rPr>
              <w:t>上市公司宜依公司規模、業務情況及管理需要，配置適任及適當人數之公司治理人員，並指定公司治理主管一名，為負責公司治理相關事務之最高主管。</w:t>
            </w:r>
          </w:p>
          <w:p w:rsidR="00287B2D" w:rsidRPr="006C49CA" w:rsidRDefault="00287B2D">
            <w:pPr>
              <w:pStyle w:val="TableParagraph"/>
              <w:spacing w:before="2" w:line="283" w:lineRule="auto"/>
              <w:ind w:right="48"/>
              <w:jc w:val="both"/>
              <w:rPr>
                <w:spacing w:val="-6"/>
                <w:sz w:val="24"/>
                <w:lang w:eastAsia="zh-TW"/>
              </w:rPr>
            </w:pPr>
          </w:p>
          <w:p w:rsidR="00287B2D" w:rsidRPr="006C49CA" w:rsidRDefault="00287B2D">
            <w:pPr>
              <w:pStyle w:val="TableParagraph"/>
              <w:spacing w:before="2" w:line="283" w:lineRule="auto"/>
              <w:ind w:right="48"/>
              <w:jc w:val="both"/>
              <w:rPr>
                <w:spacing w:val="-6"/>
                <w:sz w:val="24"/>
                <w:lang w:eastAsia="zh-TW"/>
              </w:rPr>
            </w:pPr>
            <w:r w:rsidRPr="006C49CA">
              <w:rPr>
                <w:rFonts w:hint="eastAsia"/>
                <w:spacing w:val="-6"/>
                <w:sz w:val="24"/>
                <w:lang w:eastAsia="zh-TW"/>
              </w:rPr>
              <w:t>上市公司</w:t>
            </w:r>
            <w:r w:rsidRPr="00AB5CC5">
              <w:rPr>
                <w:rFonts w:hint="eastAsia"/>
                <w:spacing w:val="-6"/>
                <w:sz w:val="24"/>
                <w:u w:val="single"/>
                <w:lang w:eastAsia="zh-TW"/>
              </w:rPr>
              <w:t>實收資本額達新台幣二十億元以上及金融保險業依主管機關規定者，</w:t>
            </w:r>
            <w:r w:rsidRPr="006C49CA">
              <w:rPr>
                <w:rFonts w:hint="eastAsia"/>
                <w:spacing w:val="-6"/>
                <w:sz w:val="24"/>
                <w:lang w:eastAsia="zh-TW"/>
              </w:rPr>
              <w:t>應設置公司治理主管</w:t>
            </w:r>
            <w:r w:rsidRPr="00AB5CC5">
              <w:rPr>
                <w:rFonts w:hint="eastAsia"/>
                <w:spacing w:val="-6"/>
                <w:sz w:val="24"/>
                <w:u w:val="single"/>
                <w:lang w:eastAsia="zh-TW"/>
              </w:rPr>
              <w:t>。</w:t>
            </w:r>
            <w:r w:rsidRPr="006C49CA">
              <w:rPr>
                <w:rFonts w:hint="eastAsia"/>
                <w:spacing w:val="-6"/>
                <w:sz w:val="24"/>
                <w:lang w:eastAsia="zh-TW"/>
              </w:rPr>
              <w:t>但未達</w:t>
            </w:r>
            <w:r w:rsidRPr="00AB5CC5">
              <w:rPr>
                <w:rFonts w:hint="eastAsia"/>
                <w:spacing w:val="-6"/>
                <w:sz w:val="24"/>
                <w:u w:val="single"/>
                <w:lang w:eastAsia="zh-TW"/>
              </w:rPr>
              <w:t>一百</w:t>
            </w:r>
            <w:r w:rsidRPr="00AB5CC5">
              <w:rPr>
                <w:rFonts w:hint="eastAsia"/>
                <w:spacing w:val="-6"/>
                <w:sz w:val="24"/>
                <w:lang w:eastAsia="zh-TW"/>
              </w:rPr>
              <w:t>億元者，</w:t>
            </w:r>
            <w:r w:rsidRPr="006C49CA">
              <w:rPr>
                <w:rFonts w:hint="eastAsia"/>
                <w:spacing w:val="-6"/>
                <w:sz w:val="24"/>
                <w:lang w:eastAsia="zh-TW"/>
              </w:rPr>
              <w:t>得於中華民國一百一十</w:t>
            </w:r>
            <w:r w:rsidRPr="00120AD9">
              <w:rPr>
                <w:rFonts w:hint="eastAsia"/>
                <w:spacing w:val="-6"/>
                <w:sz w:val="24"/>
                <w:lang w:eastAsia="zh-TW"/>
              </w:rPr>
              <w:t>年六月三十</w:t>
            </w:r>
            <w:r w:rsidRPr="006C49CA">
              <w:rPr>
                <w:rFonts w:hint="eastAsia"/>
                <w:spacing w:val="-6"/>
                <w:sz w:val="24"/>
                <w:lang w:eastAsia="zh-TW"/>
              </w:rPr>
              <w:t>日前完成設置公司治理主管。</w:t>
            </w:r>
          </w:p>
          <w:p w:rsidR="00287B2D" w:rsidRPr="006C49CA" w:rsidRDefault="00287B2D">
            <w:pPr>
              <w:pStyle w:val="TableParagraph"/>
              <w:spacing w:before="195" w:line="283" w:lineRule="auto"/>
              <w:ind w:right="79"/>
              <w:jc w:val="both"/>
              <w:rPr>
                <w:spacing w:val="-6"/>
                <w:sz w:val="24"/>
                <w:lang w:eastAsia="zh-TW"/>
              </w:rPr>
            </w:pPr>
          </w:p>
          <w:p w:rsidR="00287B2D" w:rsidRPr="006C49CA" w:rsidRDefault="00287B2D" w:rsidP="00115F3E">
            <w:pPr>
              <w:pStyle w:val="TableParagraph"/>
              <w:spacing w:before="195" w:line="283" w:lineRule="auto"/>
              <w:ind w:right="79"/>
              <w:jc w:val="both"/>
              <w:rPr>
                <w:spacing w:val="-6"/>
                <w:sz w:val="24"/>
                <w:lang w:eastAsia="zh-TW"/>
              </w:rPr>
            </w:pPr>
            <w:r w:rsidRPr="006C49CA">
              <w:rPr>
                <w:rFonts w:hint="eastAsia"/>
                <w:spacing w:val="-6"/>
                <w:sz w:val="24"/>
                <w:lang w:eastAsia="zh-TW"/>
              </w:rPr>
              <w:t>上市公司設置公司治理主管，應依本要點規定辦理，但主管機關法令另有規定者，從其規定。</w:t>
            </w:r>
          </w:p>
        </w:tc>
        <w:tc>
          <w:tcPr>
            <w:tcW w:w="2766" w:type="dxa"/>
          </w:tcPr>
          <w:p w:rsidR="006C49CA" w:rsidRDefault="006C49CA" w:rsidP="006C49CA">
            <w:pPr>
              <w:pStyle w:val="TableParagraph"/>
              <w:spacing w:before="81" w:line="240" w:lineRule="auto"/>
              <w:ind w:left="0"/>
              <w:rPr>
                <w:spacing w:val="-6"/>
                <w:sz w:val="24"/>
                <w:lang w:eastAsia="zh-TW"/>
              </w:rPr>
            </w:pPr>
          </w:p>
          <w:p w:rsidR="006C49CA" w:rsidRDefault="006C49CA" w:rsidP="006C49CA">
            <w:pPr>
              <w:pStyle w:val="TableParagraph"/>
              <w:spacing w:before="81" w:line="240" w:lineRule="auto"/>
              <w:rPr>
                <w:spacing w:val="-6"/>
                <w:sz w:val="24"/>
                <w:lang w:eastAsia="zh-TW"/>
              </w:rPr>
            </w:pPr>
          </w:p>
          <w:p w:rsidR="006C49CA" w:rsidRDefault="006C49CA" w:rsidP="006C49CA">
            <w:pPr>
              <w:pStyle w:val="TableParagraph"/>
              <w:spacing w:before="81" w:line="240" w:lineRule="auto"/>
              <w:rPr>
                <w:spacing w:val="-6"/>
                <w:sz w:val="24"/>
                <w:lang w:eastAsia="zh-TW"/>
              </w:rPr>
            </w:pPr>
          </w:p>
          <w:p w:rsidR="006A2AA9" w:rsidRDefault="006A2AA9" w:rsidP="006A2AA9">
            <w:pPr>
              <w:widowControl/>
              <w:shd w:val="clear" w:color="auto" w:fill="FFFFFF"/>
              <w:autoSpaceDE/>
              <w:autoSpaceDN/>
              <w:ind w:hanging="232"/>
              <w:rPr>
                <w:rFonts w:ascii="Calibri" w:eastAsia="新細明體" w:hAnsi="Calibri" w:cs="Calibri"/>
                <w:color w:val="000000"/>
                <w:sz w:val="28"/>
                <w:szCs w:val="28"/>
                <w:lang w:eastAsia="zh-TW"/>
              </w:rPr>
            </w:pPr>
            <w:r w:rsidRPr="006A2AA9">
              <w:rPr>
                <w:rFonts w:ascii="Calibri" w:eastAsia="新細明體" w:hAnsi="Calibri" w:cs="Calibri"/>
                <w:color w:val="000000"/>
                <w:sz w:val="28"/>
                <w:szCs w:val="28"/>
                <w:lang w:eastAsia="zh-TW"/>
              </w:rPr>
              <w:t>實</w:t>
            </w:r>
          </w:p>
          <w:p w:rsidR="006A2AA9" w:rsidRDefault="006A2AA9" w:rsidP="006A2AA9">
            <w:pPr>
              <w:widowControl/>
              <w:shd w:val="clear" w:color="auto" w:fill="FFFFFF"/>
              <w:autoSpaceDE/>
              <w:autoSpaceDN/>
              <w:ind w:hanging="232"/>
              <w:rPr>
                <w:rFonts w:ascii="Calibri" w:eastAsia="新細明體" w:hAnsi="Calibri" w:cs="Calibri"/>
                <w:color w:val="000000"/>
                <w:sz w:val="28"/>
                <w:szCs w:val="28"/>
                <w:lang w:eastAsia="zh-TW"/>
              </w:rPr>
            </w:pPr>
          </w:p>
          <w:p w:rsidR="006A2AA9" w:rsidRDefault="006A2AA9" w:rsidP="006A2AA9">
            <w:pPr>
              <w:widowControl/>
              <w:shd w:val="clear" w:color="auto" w:fill="FFFFFF"/>
              <w:autoSpaceDE/>
              <w:autoSpaceDN/>
              <w:ind w:hanging="232"/>
              <w:rPr>
                <w:rFonts w:ascii="Calibri" w:eastAsia="新細明體" w:hAnsi="Calibri" w:cs="Calibri"/>
                <w:color w:val="000000"/>
                <w:sz w:val="28"/>
                <w:szCs w:val="28"/>
                <w:lang w:eastAsia="zh-TW"/>
              </w:rPr>
            </w:pPr>
          </w:p>
          <w:p w:rsidR="006A2AA9" w:rsidRDefault="006A2AA9" w:rsidP="006A2AA9">
            <w:pPr>
              <w:widowControl/>
              <w:shd w:val="clear" w:color="auto" w:fill="FFFFFF"/>
              <w:autoSpaceDE/>
              <w:autoSpaceDN/>
              <w:ind w:hanging="232"/>
              <w:rPr>
                <w:rFonts w:ascii="Calibri" w:eastAsia="新細明體" w:hAnsi="Calibri" w:cs="Calibri"/>
                <w:color w:val="000000"/>
                <w:sz w:val="28"/>
                <w:szCs w:val="28"/>
                <w:lang w:eastAsia="zh-TW"/>
              </w:rPr>
            </w:pPr>
          </w:p>
          <w:p w:rsidR="006A2AA9" w:rsidRDefault="006A2AA9" w:rsidP="006A2AA9">
            <w:pPr>
              <w:widowControl/>
              <w:shd w:val="clear" w:color="auto" w:fill="FFFFFF"/>
              <w:autoSpaceDE/>
              <w:autoSpaceDN/>
              <w:ind w:hanging="232"/>
              <w:rPr>
                <w:rFonts w:ascii="Calibri" w:eastAsia="新細明體" w:hAnsi="Calibri" w:cs="Calibri"/>
                <w:color w:val="000000"/>
                <w:sz w:val="28"/>
                <w:szCs w:val="28"/>
                <w:lang w:eastAsia="zh-TW"/>
              </w:rPr>
            </w:pPr>
          </w:p>
          <w:p w:rsidR="006A2AA9" w:rsidRDefault="006A2AA9" w:rsidP="006A2AA9">
            <w:pPr>
              <w:widowControl/>
              <w:shd w:val="clear" w:color="auto" w:fill="FFFFFF"/>
              <w:autoSpaceDE/>
              <w:autoSpaceDN/>
              <w:ind w:hanging="232"/>
              <w:rPr>
                <w:rFonts w:ascii="Calibri" w:eastAsia="新細明體" w:hAnsi="Calibri" w:cs="Calibri"/>
                <w:color w:val="000000"/>
                <w:sz w:val="28"/>
                <w:szCs w:val="28"/>
                <w:lang w:eastAsia="zh-TW"/>
              </w:rPr>
            </w:pPr>
          </w:p>
          <w:p w:rsidR="006A2AA9" w:rsidRDefault="006A2AA9" w:rsidP="006A2AA9">
            <w:pPr>
              <w:widowControl/>
              <w:shd w:val="clear" w:color="auto" w:fill="FFFFFF"/>
              <w:autoSpaceDE/>
              <w:autoSpaceDN/>
              <w:ind w:hanging="232"/>
              <w:rPr>
                <w:rFonts w:ascii="Calibri" w:eastAsia="新細明體" w:hAnsi="Calibri" w:cs="Calibri"/>
                <w:color w:val="000000"/>
                <w:sz w:val="28"/>
                <w:szCs w:val="28"/>
                <w:lang w:eastAsia="zh-TW"/>
              </w:rPr>
            </w:pPr>
          </w:p>
          <w:p w:rsidR="006A2AA9" w:rsidRDefault="006A2AA9" w:rsidP="006A2AA9">
            <w:pPr>
              <w:widowControl/>
              <w:shd w:val="clear" w:color="auto" w:fill="FFFFFF"/>
              <w:autoSpaceDE/>
              <w:autoSpaceDN/>
              <w:ind w:hanging="232"/>
              <w:rPr>
                <w:rFonts w:ascii="Calibri" w:eastAsia="新細明體" w:hAnsi="Calibri" w:cs="Calibri"/>
                <w:color w:val="000000"/>
                <w:sz w:val="28"/>
                <w:szCs w:val="28"/>
                <w:lang w:eastAsia="zh-TW"/>
              </w:rPr>
            </w:pPr>
          </w:p>
          <w:p w:rsidR="006A2AA9" w:rsidRPr="006A2AA9" w:rsidRDefault="006A2AA9" w:rsidP="006A2AA9">
            <w:pPr>
              <w:widowControl/>
              <w:shd w:val="clear" w:color="auto" w:fill="FFFFFF"/>
              <w:autoSpaceDE/>
              <w:autoSpaceDN/>
              <w:ind w:hanging="232"/>
              <w:rPr>
                <w:rFonts w:ascii="Calibri" w:eastAsia="新細明體" w:hAnsi="Calibri" w:cs="Calibri"/>
                <w:color w:val="000000"/>
                <w:sz w:val="13"/>
                <w:szCs w:val="13"/>
                <w:lang w:eastAsia="zh-TW"/>
              </w:rPr>
            </w:pPr>
          </w:p>
          <w:p w:rsidR="006A2AA9" w:rsidRPr="006A2AA9" w:rsidRDefault="006A2AA9" w:rsidP="006A2AA9">
            <w:pPr>
              <w:widowControl/>
              <w:shd w:val="clear" w:color="auto" w:fill="FFFFFF"/>
              <w:autoSpaceDE/>
              <w:autoSpaceDN/>
              <w:ind w:hanging="232"/>
              <w:rPr>
                <w:rFonts w:ascii="Calibri" w:eastAsia="新細明體" w:hAnsi="Calibri" w:cs="Calibri"/>
                <w:color w:val="000000"/>
                <w:sz w:val="13"/>
                <w:szCs w:val="13"/>
                <w:lang w:eastAsia="zh-TW"/>
              </w:rPr>
            </w:pPr>
          </w:p>
          <w:p w:rsidR="006C49CA" w:rsidRDefault="006C49CA" w:rsidP="006C49CA">
            <w:pPr>
              <w:pStyle w:val="TableParagraph"/>
              <w:spacing w:before="81" w:line="240" w:lineRule="auto"/>
              <w:rPr>
                <w:spacing w:val="-6"/>
                <w:sz w:val="24"/>
                <w:lang w:eastAsia="zh-TW"/>
              </w:rPr>
            </w:pPr>
          </w:p>
          <w:p w:rsidR="00287B2D" w:rsidRPr="006C49CA" w:rsidRDefault="00287B2D" w:rsidP="006C49CA">
            <w:pPr>
              <w:pStyle w:val="TableParagraph"/>
              <w:spacing w:before="81" w:line="240" w:lineRule="auto"/>
              <w:rPr>
                <w:spacing w:val="-6"/>
                <w:sz w:val="24"/>
                <w:lang w:eastAsia="zh-TW"/>
              </w:rPr>
            </w:pPr>
            <w:r w:rsidRPr="006C49CA">
              <w:rPr>
                <w:rFonts w:hint="eastAsia"/>
                <w:spacing w:val="-6"/>
                <w:sz w:val="24"/>
                <w:lang w:eastAsia="zh-TW"/>
              </w:rPr>
              <w:t>為配合</w:t>
            </w:r>
            <w:r w:rsidR="006C49CA">
              <w:rPr>
                <w:spacing w:val="-6"/>
                <w:sz w:val="24"/>
                <w:lang w:eastAsia="zh-TW"/>
              </w:rPr>
              <w:t>「</w:t>
            </w:r>
            <w:r w:rsidR="006C49CA" w:rsidRPr="006C49CA">
              <w:rPr>
                <w:rFonts w:hint="eastAsia"/>
                <w:spacing w:val="-6"/>
                <w:sz w:val="24"/>
                <w:lang w:eastAsia="zh-TW"/>
              </w:rPr>
              <w:t>公司治理3.0-永續發展藍圖</w:t>
            </w:r>
            <w:r w:rsidR="006C49CA">
              <w:rPr>
                <w:spacing w:val="-6"/>
                <w:sz w:val="24"/>
                <w:lang w:eastAsia="zh-TW"/>
              </w:rPr>
              <w:t>」</w:t>
            </w:r>
            <w:r w:rsidR="00C37273" w:rsidRPr="006C49CA">
              <w:rPr>
                <w:rFonts w:hint="eastAsia"/>
                <w:spacing w:val="-6"/>
                <w:sz w:val="24"/>
                <w:lang w:eastAsia="zh-TW"/>
              </w:rPr>
              <w:t>規劃</w:t>
            </w:r>
            <w:r w:rsidRPr="006C49CA">
              <w:rPr>
                <w:rFonts w:hint="eastAsia"/>
                <w:spacing w:val="-6"/>
                <w:sz w:val="24"/>
                <w:lang w:eastAsia="zh-TW"/>
              </w:rPr>
              <w:t>，爰修正本條第三項規定，要求</w:t>
            </w:r>
            <w:r w:rsidR="00C37273" w:rsidRPr="006C49CA">
              <w:rPr>
                <w:rFonts w:hint="eastAsia"/>
                <w:spacing w:val="-6"/>
                <w:sz w:val="24"/>
                <w:lang w:eastAsia="zh-TW"/>
              </w:rPr>
              <w:t>全體上市</w:t>
            </w:r>
            <w:r w:rsidRPr="006C49CA">
              <w:rPr>
                <w:rFonts w:hint="eastAsia"/>
                <w:spacing w:val="-6"/>
                <w:sz w:val="24"/>
                <w:lang w:eastAsia="zh-TW"/>
              </w:rPr>
              <w:t>公司應於</w:t>
            </w:r>
            <w:r w:rsidRPr="006C49CA">
              <w:rPr>
                <w:spacing w:val="-6"/>
                <w:sz w:val="24"/>
                <w:lang w:eastAsia="zh-TW"/>
              </w:rPr>
              <w:t>11</w:t>
            </w:r>
            <w:r w:rsidR="00C37273" w:rsidRPr="006C49CA">
              <w:rPr>
                <w:spacing w:val="-6"/>
                <w:sz w:val="24"/>
                <w:lang w:eastAsia="zh-TW"/>
              </w:rPr>
              <w:t>2</w:t>
            </w:r>
            <w:r w:rsidRPr="006C49CA">
              <w:rPr>
                <w:spacing w:val="-6"/>
                <w:sz w:val="24"/>
                <w:lang w:eastAsia="zh-TW"/>
              </w:rPr>
              <w:t xml:space="preserve"> </w:t>
            </w:r>
            <w:r w:rsidRPr="006C49CA">
              <w:rPr>
                <w:rFonts w:hint="eastAsia"/>
                <w:spacing w:val="-6"/>
                <w:sz w:val="24"/>
                <w:lang w:eastAsia="zh-TW"/>
              </w:rPr>
              <w:t xml:space="preserve">年 </w:t>
            </w:r>
            <w:r w:rsidR="000914D4">
              <w:rPr>
                <w:spacing w:val="-6"/>
                <w:sz w:val="24"/>
                <w:lang w:eastAsia="zh-TW"/>
              </w:rPr>
              <w:t>6</w:t>
            </w:r>
            <w:r w:rsidRPr="006C49CA">
              <w:rPr>
                <w:spacing w:val="-6"/>
                <w:sz w:val="24"/>
                <w:lang w:eastAsia="zh-TW"/>
              </w:rPr>
              <w:t xml:space="preserve"> </w:t>
            </w:r>
            <w:r w:rsidRPr="006C49CA">
              <w:rPr>
                <w:rFonts w:hint="eastAsia"/>
                <w:spacing w:val="-6"/>
                <w:sz w:val="24"/>
                <w:lang w:eastAsia="zh-TW"/>
              </w:rPr>
              <w:t xml:space="preserve">月 </w:t>
            </w:r>
            <w:r w:rsidR="000914D4">
              <w:rPr>
                <w:spacing w:val="-6"/>
                <w:sz w:val="24"/>
                <w:lang w:eastAsia="zh-TW"/>
              </w:rPr>
              <w:t>30</w:t>
            </w:r>
            <w:r w:rsidRPr="006C49CA">
              <w:rPr>
                <w:spacing w:val="-6"/>
                <w:sz w:val="24"/>
                <w:lang w:eastAsia="zh-TW"/>
              </w:rPr>
              <w:t xml:space="preserve"> </w:t>
            </w:r>
            <w:r w:rsidRPr="006C49CA">
              <w:rPr>
                <w:rFonts w:hint="eastAsia"/>
                <w:spacing w:val="-6"/>
                <w:sz w:val="24"/>
                <w:lang w:eastAsia="zh-TW"/>
              </w:rPr>
              <w:t>日前完成設置公司治理主管。</w:t>
            </w:r>
          </w:p>
        </w:tc>
      </w:tr>
    </w:tbl>
    <w:p w:rsidR="006F0804" w:rsidRDefault="006F0804">
      <w:pPr>
        <w:spacing w:line="310" w:lineRule="exact"/>
        <w:rPr>
          <w:sz w:val="24"/>
          <w:lang w:eastAsia="zh-TW"/>
        </w:rPr>
        <w:sectPr w:rsidR="006F0804">
          <w:type w:val="continuous"/>
          <w:pgSz w:w="11910" w:h="16840"/>
          <w:pgMar w:top="1400" w:right="1440" w:bottom="280" w:left="1580" w:header="720" w:footer="720" w:gutter="0"/>
          <w:cols w:space="720"/>
        </w:sectPr>
      </w:pPr>
    </w:p>
    <w:p w:rsidR="006F0804" w:rsidRDefault="006F0804">
      <w:pPr>
        <w:spacing w:line="300" w:lineRule="exact"/>
        <w:rPr>
          <w:sz w:val="24"/>
          <w:lang w:eastAsia="zh-TW"/>
        </w:rPr>
        <w:sectPr w:rsidR="006F0804">
          <w:type w:val="continuous"/>
          <w:pgSz w:w="11910" w:h="16840"/>
          <w:pgMar w:top="1420" w:right="1440" w:bottom="940" w:left="1580" w:header="720" w:footer="720" w:gutter="0"/>
          <w:cols w:space="720"/>
        </w:sectPr>
      </w:pPr>
    </w:p>
    <w:p w:rsidR="00A07D1B" w:rsidRDefault="00A07D1B">
      <w:pPr>
        <w:rPr>
          <w:lang w:eastAsia="zh-TW"/>
        </w:rPr>
      </w:pPr>
    </w:p>
    <w:sectPr w:rsidR="00A07D1B" w:rsidSect="006F0804">
      <w:type w:val="continuous"/>
      <w:pgSz w:w="11910" w:h="16840"/>
      <w:pgMar w:top="1420" w:right="144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959" w:rsidRDefault="00480959" w:rsidP="00287B2D">
      <w:r>
        <w:separator/>
      </w:r>
    </w:p>
  </w:endnote>
  <w:endnote w:type="continuationSeparator" w:id="0">
    <w:p w:rsidR="00480959" w:rsidRDefault="00480959" w:rsidP="0028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959" w:rsidRDefault="00480959" w:rsidP="00287B2D">
      <w:r>
        <w:separator/>
      </w:r>
    </w:p>
  </w:footnote>
  <w:footnote w:type="continuationSeparator" w:id="0">
    <w:p w:rsidR="00480959" w:rsidRDefault="00480959" w:rsidP="0028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558ED"/>
    <w:multiLevelType w:val="hybridMultilevel"/>
    <w:tmpl w:val="8FA067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04"/>
    <w:rsid w:val="000255CF"/>
    <w:rsid w:val="00042284"/>
    <w:rsid w:val="000914D4"/>
    <w:rsid w:val="00115F3E"/>
    <w:rsid w:val="00120AD9"/>
    <w:rsid w:val="00260D3D"/>
    <w:rsid w:val="0028786E"/>
    <w:rsid w:val="00287B2D"/>
    <w:rsid w:val="002C1AB0"/>
    <w:rsid w:val="003B4E82"/>
    <w:rsid w:val="003E45E1"/>
    <w:rsid w:val="003F254B"/>
    <w:rsid w:val="00424ACF"/>
    <w:rsid w:val="00473F09"/>
    <w:rsid w:val="00480959"/>
    <w:rsid w:val="004E67C2"/>
    <w:rsid w:val="005111C5"/>
    <w:rsid w:val="005B4E52"/>
    <w:rsid w:val="005F1DAE"/>
    <w:rsid w:val="005F728B"/>
    <w:rsid w:val="006707ED"/>
    <w:rsid w:val="006813B7"/>
    <w:rsid w:val="006A2AA9"/>
    <w:rsid w:val="006B1A28"/>
    <w:rsid w:val="006C49CA"/>
    <w:rsid w:val="006F0804"/>
    <w:rsid w:val="007437AC"/>
    <w:rsid w:val="00750762"/>
    <w:rsid w:val="008C45CC"/>
    <w:rsid w:val="008D1F26"/>
    <w:rsid w:val="0094090C"/>
    <w:rsid w:val="00964DD3"/>
    <w:rsid w:val="009B34A2"/>
    <w:rsid w:val="00A07D1B"/>
    <w:rsid w:val="00A21067"/>
    <w:rsid w:val="00A25638"/>
    <w:rsid w:val="00A73466"/>
    <w:rsid w:val="00AB5CC5"/>
    <w:rsid w:val="00AC7102"/>
    <w:rsid w:val="00B413F6"/>
    <w:rsid w:val="00C323FF"/>
    <w:rsid w:val="00C37273"/>
    <w:rsid w:val="00CA5E2E"/>
    <w:rsid w:val="00CD6780"/>
    <w:rsid w:val="00D01D21"/>
    <w:rsid w:val="00D55B0C"/>
    <w:rsid w:val="00DB2C67"/>
    <w:rsid w:val="00DC34F0"/>
    <w:rsid w:val="00DC4751"/>
    <w:rsid w:val="00DD189C"/>
    <w:rsid w:val="00DE6EAB"/>
    <w:rsid w:val="00E507BF"/>
    <w:rsid w:val="00E54F23"/>
    <w:rsid w:val="00EC0937"/>
    <w:rsid w:val="00EC2A3B"/>
    <w:rsid w:val="00ED0A11"/>
    <w:rsid w:val="00F1053F"/>
    <w:rsid w:val="00F709E4"/>
    <w:rsid w:val="00FA6C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876FD"/>
  <w15:docId w15:val="{DF933114-7294-4BEB-8D41-63E1AF38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F0804"/>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F0804"/>
    <w:tblPr>
      <w:tblInd w:w="0" w:type="dxa"/>
      <w:tblCellMar>
        <w:top w:w="0" w:type="dxa"/>
        <w:left w:w="0" w:type="dxa"/>
        <w:bottom w:w="0" w:type="dxa"/>
        <w:right w:w="0" w:type="dxa"/>
      </w:tblCellMar>
    </w:tblPr>
  </w:style>
  <w:style w:type="paragraph" w:styleId="a3">
    <w:name w:val="Body Text"/>
    <w:basedOn w:val="a"/>
    <w:uiPriority w:val="1"/>
    <w:qFormat/>
    <w:rsid w:val="006F0804"/>
    <w:pPr>
      <w:spacing w:before="33"/>
      <w:ind w:left="220" w:right="119"/>
    </w:pPr>
    <w:rPr>
      <w:sz w:val="24"/>
      <w:szCs w:val="24"/>
    </w:rPr>
  </w:style>
  <w:style w:type="paragraph" w:styleId="a4">
    <w:name w:val="List Paragraph"/>
    <w:basedOn w:val="a"/>
    <w:uiPriority w:val="34"/>
    <w:qFormat/>
    <w:rsid w:val="006F0804"/>
  </w:style>
  <w:style w:type="paragraph" w:customStyle="1" w:styleId="TableParagraph">
    <w:name w:val="Table Paragraph"/>
    <w:basedOn w:val="a"/>
    <w:uiPriority w:val="1"/>
    <w:qFormat/>
    <w:rsid w:val="006F0804"/>
    <w:pPr>
      <w:spacing w:before="12" w:line="328" w:lineRule="exact"/>
      <w:ind w:left="107"/>
    </w:pPr>
  </w:style>
  <w:style w:type="paragraph" w:styleId="a5">
    <w:name w:val="header"/>
    <w:basedOn w:val="a"/>
    <w:link w:val="a6"/>
    <w:uiPriority w:val="99"/>
    <w:semiHidden/>
    <w:unhideWhenUsed/>
    <w:rsid w:val="00287B2D"/>
    <w:pPr>
      <w:tabs>
        <w:tab w:val="center" w:pos="4153"/>
        <w:tab w:val="right" w:pos="8306"/>
      </w:tabs>
      <w:snapToGrid w:val="0"/>
    </w:pPr>
    <w:rPr>
      <w:sz w:val="20"/>
      <w:szCs w:val="20"/>
    </w:rPr>
  </w:style>
  <w:style w:type="character" w:customStyle="1" w:styleId="a6">
    <w:name w:val="頁首 字元"/>
    <w:basedOn w:val="a0"/>
    <w:link w:val="a5"/>
    <w:uiPriority w:val="99"/>
    <w:semiHidden/>
    <w:rsid w:val="00287B2D"/>
    <w:rPr>
      <w:rFonts w:ascii="標楷體" w:eastAsia="標楷體" w:hAnsi="標楷體" w:cs="標楷體"/>
      <w:sz w:val="20"/>
      <w:szCs w:val="20"/>
    </w:rPr>
  </w:style>
  <w:style w:type="paragraph" w:styleId="a7">
    <w:name w:val="footer"/>
    <w:basedOn w:val="a"/>
    <w:link w:val="a8"/>
    <w:uiPriority w:val="99"/>
    <w:unhideWhenUsed/>
    <w:rsid w:val="00287B2D"/>
    <w:pPr>
      <w:tabs>
        <w:tab w:val="center" w:pos="4153"/>
        <w:tab w:val="right" w:pos="8306"/>
      </w:tabs>
      <w:snapToGrid w:val="0"/>
    </w:pPr>
    <w:rPr>
      <w:sz w:val="20"/>
      <w:szCs w:val="20"/>
    </w:rPr>
  </w:style>
  <w:style w:type="character" w:customStyle="1" w:styleId="a8">
    <w:name w:val="頁尾 字元"/>
    <w:basedOn w:val="a0"/>
    <w:link w:val="a7"/>
    <w:uiPriority w:val="99"/>
    <w:rsid w:val="00287B2D"/>
    <w:rPr>
      <w:rFonts w:ascii="標楷體" w:eastAsia="標楷體" w:hAnsi="標楷體" w:cs="標楷體"/>
      <w:sz w:val="20"/>
      <w:szCs w:val="20"/>
    </w:rPr>
  </w:style>
  <w:style w:type="character" w:styleId="a9">
    <w:name w:val="Hyperlink"/>
    <w:basedOn w:val="a0"/>
    <w:uiPriority w:val="99"/>
    <w:semiHidden/>
    <w:unhideWhenUsed/>
    <w:rsid w:val="006C49CA"/>
    <w:rPr>
      <w:color w:val="0000FF"/>
      <w:u w:val="single"/>
    </w:rPr>
  </w:style>
  <w:style w:type="paragraph" w:styleId="HTML">
    <w:name w:val="HTML Preformatted"/>
    <w:basedOn w:val="a"/>
    <w:link w:val="HTML0"/>
    <w:uiPriority w:val="99"/>
    <w:unhideWhenUsed/>
    <w:rsid w:val="00AC7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AC7102"/>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1194">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2021423316">
      <w:bodyDiv w:val="1"/>
      <w:marLeft w:val="0"/>
      <w:marRight w:val="0"/>
      <w:marTop w:val="0"/>
      <w:marBottom w:val="0"/>
      <w:divBdr>
        <w:top w:val="none" w:sz="0" w:space="0" w:color="auto"/>
        <w:left w:val="none" w:sz="0" w:space="0" w:color="auto"/>
        <w:bottom w:val="none" w:sz="0" w:space="0" w:color="auto"/>
        <w:right w:val="none" w:sz="0" w:space="0" w:color="auto"/>
      </w:divBdr>
    </w:div>
    <w:div w:id="2022849410">
      <w:bodyDiv w:val="1"/>
      <w:marLeft w:val="0"/>
      <w:marRight w:val="0"/>
      <w:marTop w:val="0"/>
      <w:marBottom w:val="0"/>
      <w:divBdr>
        <w:top w:val="none" w:sz="0" w:space="0" w:color="auto"/>
        <w:left w:val="none" w:sz="0" w:space="0" w:color="auto"/>
        <w:bottom w:val="none" w:sz="0" w:space="0" w:color="auto"/>
        <w:right w:val="none" w:sz="0" w:space="0" w:color="auto"/>
      </w:divBdr>
      <w:divsChild>
        <w:div w:id="2080204900">
          <w:marLeft w:val="232"/>
          <w:marRight w:val="0"/>
          <w:marTop w:val="0"/>
          <w:marBottom w:val="0"/>
          <w:divBdr>
            <w:top w:val="none" w:sz="0" w:space="0" w:color="auto"/>
            <w:left w:val="none" w:sz="0" w:space="0" w:color="auto"/>
            <w:bottom w:val="none" w:sz="0" w:space="0" w:color="auto"/>
            <w:right w:val="none" w:sz="0" w:space="0" w:color="auto"/>
          </w:divBdr>
        </w:div>
        <w:div w:id="1551527530">
          <w:marLeft w:val="23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謝兆恩</cp:lastModifiedBy>
  <cp:revision>3</cp:revision>
  <dcterms:created xsi:type="dcterms:W3CDTF">2021-06-21T08:02:00Z</dcterms:created>
  <dcterms:modified xsi:type="dcterms:W3CDTF">2021-07-01T10:26:00Z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2020-01-03T00:00:00Z</vt:filetime>
  </property>
  <property fmtid="{D5CDD505-2E9C-101B-9397-08002B2CF9AE}" pid="3" name="Creator">
    <vt:lpwstr>Acrobat PDFMaker 10.1 Word 版</vt:lpwstr>
  </property>
  <property fmtid="{D5CDD505-2E9C-101B-9397-08002B2CF9AE}" pid="4" name="LastSaved">
    <vt:filetime>2021-06-15T00:00:00Z</vt:filetime>
  </property>
</Properties>
</file>